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7BB5C" w14:textId="77777777" w:rsidR="00EC6F5F" w:rsidRPr="00570EED" w:rsidRDefault="00EC6F5F" w:rsidP="00EC6F5F">
      <w:pPr>
        <w:tabs>
          <w:tab w:val="left" w:pos="-2410"/>
          <w:tab w:val="left" w:pos="-2268"/>
        </w:tabs>
        <w:ind w:left="6521"/>
        <w:jc w:val="right"/>
        <w:rPr>
          <w:color w:val="000000"/>
          <w:sz w:val="22"/>
          <w:szCs w:val="22"/>
        </w:rPr>
      </w:pPr>
      <w:bookmarkStart w:id="0" w:name="_GoBack"/>
      <w:r w:rsidRPr="00570EED">
        <w:rPr>
          <w:color w:val="000000"/>
          <w:sz w:val="22"/>
          <w:szCs w:val="22"/>
        </w:rPr>
        <w:t>Приложение № 1</w:t>
      </w:r>
    </w:p>
    <w:p w14:paraId="22BC7CCF" w14:textId="77777777" w:rsidR="00EC6F5F" w:rsidRPr="00570EED" w:rsidRDefault="00EC6F5F" w:rsidP="00EC6F5F">
      <w:pPr>
        <w:overflowPunct w:val="0"/>
        <w:autoSpaceDE w:val="0"/>
        <w:autoSpaceDN w:val="0"/>
        <w:adjustRightInd w:val="0"/>
        <w:ind w:left="6946" w:firstLine="134"/>
        <w:jc w:val="both"/>
        <w:rPr>
          <w:sz w:val="22"/>
          <w:szCs w:val="22"/>
        </w:rPr>
      </w:pPr>
    </w:p>
    <w:p w14:paraId="340CC606" w14:textId="77777777" w:rsidR="00EC6F5F" w:rsidRPr="00570EED" w:rsidRDefault="00EC6F5F" w:rsidP="00EC6F5F">
      <w:pPr>
        <w:tabs>
          <w:tab w:val="left" w:pos="5670"/>
        </w:tabs>
        <w:autoSpaceDN w:val="0"/>
        <w:jc w:val="center"/>
        <w:rPr>
          <w:b/>
          <w:bCs/>
          <w:sz w:val="22"/>
          <w:szCs w:val="22"/>
        </w:rPr>
      </w:pPr>
      <w:r w:rsidRPr="00570EED">
        <w:rPr>
          <w:b/>
          <w:sz w:val="22"/>
          <w:szCs w:val="22"/>
        </w:rPr>
        <w:t xml:space="preserve">Расчет </w:t>
      </w:r>
      <w:r w:rsidRPr="00570EED">
        <w:rPr>
          <w:b/>
          <w:bCs/>
          <w:sz w:val="22"/>
          <w:szCs w:val="22"/>
        </w:rPr>
        <w:t>эксплуатационно-технических и коммунальных услуг,</w:t>
      </w:r>
    </w:p>
    <w:p w14:paraId="6915B030" w14:textId="77777777" w:rsidR="00EC6F5F" w:rsidRPr="00570EED" w:rsidRDefault="00EC6F5F" w:rsidP="00EC6F5F">
      <w:pPr>
        <w:shd w:val="clear" w:color="auto" w:fill="FFFFFF"/>
        <w:autoSpaceDN w:val="0"/>
        <w:jc w:val="center"/>
        <w:rPr>
          <w:b/>
          <w:bCs/>
          <w:sz w:val="22"/>
          <w:szCs w:val="22"/>
        </w:rPr>
      </w:pPr>
      <w:proofErr w:type="gramStart"/>
      <w:r w:rsidRPr="00570EED">
        <w:rPr>
          <w:b/>
          <w:bCs/>
          <w:sz w:val="22"/>
          <w:szCs w:val="22"/>
        </w:rPr>
        <w:t>включенных</w:t>
      </w:r>
      <w:proofErr w:type="gramEnd"/>
      <w:r w:rsidRPr="00570EED">
        <w:rPr>
          <w:b/>
          <w:bCs/>
          <w:sz w:val="22"/>
          <w:szCs w:val="22"/>
        </w:rPr>
        <w:t xml:space="preserve"> в переменную часть арендной платы </w:t>
      </w:r>
    </w:p>
    <w:p w14:paraId="001523BE" w14:textId="77777777" w:rsidR="00EC6F5F" w:rsidRPr="00570EED" w:rsidRDefault="00EC6F5F" w:rsidP="00EC6F5F">
      <w:pPr>
        <w:shd w:val="clear" w:color="auto" w:fill="FFFFFF"/>
        <w:autoSpaceDN w:val="0"/>
        <w:jc w:val="center"/>
        <w:rPr>
          <w:bCs/>
          <w:color w:val="000000"/>
          <w:sz w:val="22"/>
          <w:szCs w:val="22"/>
          <w:u w:val="single"/>
        </w:rPr>
      </w:pPr>
    </w:p>
    <w:p w14:paraId="4608DEA1" w14:textId="77777777" w:rsidR="00EC6F5F" w:rsidRPr="00570EED" w:rsidRDefault="00EC6F5F" w:rsidP="00EC6F5F">
      <w:pPr>
        <w:shd w:val="clear" w:color="auto" w:fill="FFFFFF"/>
        <w:autoSpaceDN w:val="0"/>
        <w:jc w:val="center"/>
        <w:rPr>
          <w:sz w:val="22"/>
          <w:szCs w:val="22"/>
          <w:u w:val="single"/>
        </w:rPr>
      </w:pPr>
      <w:r w:rsidRPr="00570EED">
        <w:rPr>
          <w:bCs/>
          <w:color w:val="000000"/>
          <w:sz w:val="22"/>
          <w:szCs w:val="22"/>
          <w:u w:val="single"/>
        </w:rPr>
        <w:t xml:space="preserve">Объект: г. Москва, ул. Никитский переулок, дом 7, стр. 1, </w:t>
      </w:r>
      <w:r w:rsidRPr="00570EED">
        <w:rPr>
          <w:sz w:val="22"/>
          <w:szCs w:val="22"/>
          <w:u w:val="single"/>
        </w:rPr>
        <w:t>подвал, подвал-2, цокольный этаж, этаж 1, этаж 2, этаж 3, этаж 4, этаж 5, этаж 6, этаж 7 (площадь – 1 624,8 кв. м)</w:t>
      </w:r>
    </w:p>
    <w:p w14:paraId="5D519F94" w14:textId="77777777" w:rsidR="00EC6F5F" w:rsidRPr="00570EED" w:rsidRDefault="00EC6F5F" w:rsidP="00EC6F5F">
      <w:pPr>
        <w:shd w:val="clear" w:color="auto" w:fill="FFFFFF"/>
        <w:autoSpaceDN w:val="0"/>
        <w:jc w:val="center"/>
        <w:rPr>
          <w:bCs/>
          <w:color w:val="000000"/>
          <w:sz w:val="22"/>
          <w:szCs w:val="22"/>
          <w:u w:val="single"/>
        </w:rPr>
      </w:pPr>
    </w:p>
    <w:p w14:paraId="1F63D71F" w14:textId="77777777" w:rsidR="00EC6F5F" w:rsidRPr="00570EED" w:rsidRDefault="00EC6F5F" w:rsidP="00EC6F5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 w:rsidRPr="00570EED">
        <w:rPr>
          <w:sz w:val="22"/>
          <w:szCs w:val="22"/>
        </w:rPr>
        <w:t xml:space="preserve">Объем потребляемых энергоресурсов всех видов определяется на помесячной основе и </w:t>
      </w:r>
      <w:r w:rsidRPr="00570EED">
        <w:rPr>
          <w:rFonts w:eastAsia="Calibri"/>
          <w:color w:val="000000"/>
          <w:sz w:val="22"/>
          <w:szCs w:val="22"/>
          <w:lang w:eastAsia="en-US"/>
        </w:rPr>
        <w:t>рассчитывается</w:t>
      </w:r>
      <w:r w:rsidRPr="00570EED">
        <w:rPr>
          <w:sz w:val="22"/>
          <w:szCs w:val="22"/>
        </w:rPr>
        <w:t xml:space="preserve"> следующим образом.</w:t>
      </w:r>
    </w:p>
    <w:p w14:paraId="54407862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</w:p>
    <w:p w14:paraId="48572350" w14:textId="77777777" w:rsidR="00EC6F5F" w:rsidRPr="00570EED" w:rsidRDefault="00EC6F5F" w:rsidP="00EC6F5F">
      <w:pPr>
        <w:autoSpaceDN w:val="0"/>
        <w:jc w:val="both"/>
        <w:rPr>
          <w:b/>
          <w:sz w:val="22"/>
          <w:szCs w:val="22"/>
        </w:rPr>
      </w:pPr>
      <w:r w:rsidRPr="00570EED">
        <w:rPr>
          <w:b/>
          <w:sz w:val="22"/>
          <w:szCs w:val="22"/>
        </w:rPr>
        <w:t xml:space="preserve">1. Электроэнергия </w:t>
      </w:r>
    </w:p>
    <w:p w14:paraId="51F29A7D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>1.1. Расчет потребленной электроэнергии производится по установленной мощности, определяется на основании норматива удельной нагрузки, арендованной площади, времени потребления энергии в сутки и количества дней в расчетном периоде и составляет:</w:t>
      </w:r>
    </w:p>
    <w:p w14:paraId="631D92DC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 xml:space="preserve">0,045 кВт/кв. м х 1 624,8 кв. м х 10 ч. х 30,5 </w:t>
      </w:r>
      <w:proofErr w:type="spellStart"/>
      <w:r w:rsidRPr="00570EED">
        <w:rPr>
          <w:sz w:val="22"/>
          <w:szCs w:val="22"/>
        </w:rPr>
        <w:t>дн</w:t>
      </w:r>
      <w:proofErr w:type="spellEnd"/>
      <w:r w:rsidRPr="00570EED">
        <w:rPr>
          <w:sz w:val="22"/>
          <w:szCs w:val="22"/>
        </w:rPr>
        <w:t>. = 22300 кВт *</w:t>
      </w:r>
      <w:proofErr w:type="gramStart"/>
      <w:r w:rsidRPr="00570EED">
        <w:rPr>
          <w:sz w:val="22"/>
          <w:szCs w:val="22"/>
        </w:rPr>
        <w:t>ч</w:t>
      </w:r>
      <w:proofErr w:type="gramEnd"/>
      <w:r w:rsidRPr="00570EED">
        <w:rPr>
          <w:sz w:val="22"/>
          <w:szCs w:val="22"/>
        </w:rPr>
        <w:t>.</w:t>
      </w:r>
    </w:p>
    <w:p w14:paraId="0097FFE1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>где:</w:t>
      </w:r>
    </w:p>
    <w:p w14:paraId="62401B2D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>-</w:t>
      </w:r>
      <w:r w:rsidRPr="00570EED">
        <w:rPr>
          <w:sz w:val="22"/>
          <w:szCs w:val="22"/>
        </w:rPr>
        <w:tab/>
        <w:t>0,045 кВт/кв. м - норматив удельной нагрузки (РД 34.20.185-94 «Удельные расчетные электрические нагрузки общественных зданий», п. 2.2.1.);</w:t>
      </w:r>
    </w:p>
    <w:p w14:paraId="505F6F48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>-</w:t>
      </w:r>
      <w:r w:rsidRPr="00570EED">
        <w:rPr>
          <w:sz w:val="22"/>
          <w:szCs w:val="22"/>
        </w:rPr>
        <w:tab/>
        <w:t>10 ч. – максимальное время потребления электрической энергии в сутки;</w:t>
      </w:r>
    </w:p>
    <w:p w14:paraId="783CEB9A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>-</w:t>
      </w:r>
      <w:r w:rsidRPr="00570EED">
        <w:rPr>
          <w:sz w:val="22"/>
          <w:szCs w:val="22"/>
        </w:rPr>
        <w:tab/>
        <w:t xml:space="preserve">30,5 </w:t>
      </w:r>
      <w:proofErr w:type="spellStart"/>
      <w:r w:rsidRPr="00570EED">
        <w:rPr>
          <w:sz w:val="22"/>
          <w:szCs w:val="22"/>
        </w:rPr>
        <w:t>дн</w:t>
      </w:r>
      <w:proofErr w:type="spellEnd"/>
      <w:r w:rsidRPr="00570EED">
        <w:rPr>
          <w:sz w:val="22"/>
          <w:szCs w:val="22"/>
        </w:rPr>
        <w:t>. – среднее количество дней в месяце.</w:t>
      </w:r>
    </w:p>
    <w:p w14:paraId="542779F7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>1.2. Расчет производится по четвертой ценовой категории.</w:t>
      </w:r>
    </w:p>
    <w:p w14:paraId="097EDEDD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</w:p>
    <w:p w14:paraId="63386780" w14:textId="77777777" w:rsidR="00EC6F5F" w:rsidRPr="00570EED" w:rsidRDefault="00EC6F5F" w:rsidP="00EC6F5F">
      <w:pPr>
        <w:autoSpaceDN w:val="0"/>
        <w:jc w:val="both"/>
        <w:rPr>
          <w:b/>
          <w:sz w:val="22"/>
          <w:szCs w:val="22"/>
        </w:rPr>
      </w:pPr>
      <w:r w:rsidRPr="00570EED">
        <w:rPr>
          <w:b/>
          <w:sz w:val="22"/>
          <w:szCs w:val="22"/>
        </w:rPr>
        <w:t>2. Тепловая энергия</w:t>
      </w:r>
    </w:p>
    <w:p w14:paraId="05E78194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>2.1. Количество теплоносителя (тепловой энергии) определяется в процентном соотношении занимаемой Арендатором площади от общей отапливаемой площади Объекта в соответствии с данными учета фактического потребления тепловой энергии по показаниям узла учета Арендодателя.</w:t>
      </w:r>
    </w:p>
    <w:p w14:paraId="1D62C9B5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>2.2. Стоимость тепловой энергии за расчетный период определяется как произведение фактически потребленного количества тепловой энергии и соответствующего тарифа на тепловую энергию.</w:t>
      </w:r>
    </w:p>
    <w:p w14:paraId="71E0EE68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</w:p>
    <w:p w14:paraId="5D26FAD3" w14:textId="77777777" w:rsidR="00EC6F5F" w:rsidRPr="00570EED" w:rsidRDefault="00EC6F5F" w:rsidP="00EC6F5F">
      <w:pPr>
        <w:autoSpaceDN w:val="0"/>
        <w:jc w:val="both"/>
        <w:rPr>
          <w:b/>
          <w:sz w:val="22"/>
          <w:szCs w:val="22"/>
        </w:rPr>
      </w:pPr>
      <w:r w:rsidRPr="00570EED">
        <w:rPr>
          <w:b/>
          <w:sz w:val="22"/>
          <w:szCs w:val="22"/>
        </w:rPr>
        <w:t>3. Питьевая вода и приемка сточных вод</w:t>
      </w:r>
    </w:p>
    <w:p w14:paraId="3B7151FC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>3.1. Количество полученной Арендатором питьевой воды и сброшенных сточных вод определяется в соответствии с данными учета фактического потребления питьевой воды по показаниям средств измерений, установленных на водопроводных вводах Объекта.</w:t>
      </w:r>
    </w:p>
    <w:p w14:paraId="05630884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>3.2. Оплата осуществляется Арендатором по тарифам на питьевую воду (питьевое водоснабжение) и водоотведение, установленным Региональной энергетической комиссией (РЭК) города Москвы в соответствии с законодательством Российской Федерации о государственном регулировании цен (тарифов) для потребителей, отнесенных к соответствующей группе по применению тарифов.</w:t>
      </w:r>
    </w:p>
    <w:p w14:paraId="434A6CDF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</w:p>
    <w:p w14:paraId="193F7457" w14:textId="77777777" w:rsidR="00EC6F5F" w:rsidRPr="00570EED" w:rsidRDefault="00EC6F5F" w:rsidP="00EC6F5F">
      <w:pPr>
        <w:autoSpaceDN w:val="0"/>
        <w:jc w:val="both"/>
        <w:rPr>
          <w:b/>
          <w:sz w:val="22"/>
          <w:szCs w:val="22"/>
        </w:rPr>
      </w:pPr>
      <w:r w:rsidRPr="00570EED">
        <w:rPr>
          <w:b/>
          <w:sz w:val="22"/>
          <w:szCs w:val="22"/>
        </w:rPr>
        <w:t>4. Эксплуатационно-техническое обслуживание оборудования и систем жизнеобеспечения</w:t>
      </w:r>
    </w:p>
    <w:p w14:paraId="325EF277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>Норматив на 1 кв. м площади в месяц составляет 30 руб. (без НДС).</w:t>
      </w:r>
    </w:p>
    <w:p w14:paraId="7F88964B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  <w:r w:rsidRPr="00570EED">
        <w:rPr>
          <w:sz w:val="22"/>
          <w:szCs w:val="22"/>
        </w:rPr>
        <w:t xml:space="preserve">Для расчета стоимости потребленных Арендатором энергоресурсов, воды, приема сточных вод применяются тарифы, установленные для Арендодателя </w:t>
      </w:r>
      <w:proofErr w:type="spellStart"/>
      <w:r w:rsidRPr="00570EED">
        <w:rPr>
          <w:sz w:val="22"/>
          <w:szCs w:val="22"/>
        </w:rPr>
        <w:t>энергоснабжающей</w:t>
      </w:r>
      <w:proofErr w:type="spellEnd"/>
      <w:r w:rsidRPr="00570EED">
        <w:rPr>
          <w:sz w:val="22"/>
          <w:szCs w:val="22"/>
        </w:rPr>
        <w:t xml:space="preserve"> и </w:t>
      </w:r>
      <w:proofErr w:type="spellStart"/>
      <w:r w:rsidRPr="00570EED">
        <w:rPr>
          <w:sz w:val="22"/>
          <w:szCs w:val="22"/>
        </w:rPr>
        <w:t>водоснабжающей</w:t>
      </w:r>
      <w:proofErr w:type="spellEnd"/>
      <w:r w:rsidRPr="00570EED">
        <w:rPr>
          <w:sz w:val="22"/>
          <w:szCs w:val="22"/>
        </w:rPr>
        <w:t xml:space="preserve"> организациями (ПАО «</w:t>
      </w:r>
      <w:proofErr w:type="spellStart"/>
      <w:r w:rsidRPr="00570EED">
        <w:rPr>
          <w:sz w:val="22"/>
          <w:szCs w:val="22"/>
        </w:rPr>
        <w:t>Мосэнергосбыт</w:t>
      </w:r>
      <w:proofErr w:type="spellEnd"/>
      <w:r w:rsidRPr="00570EED">
        <w:rPr>
          <w:sz w:val="22"/>
          <w:szCs w:val="22"/>
        </w:rPr>
        <w:t>», ПАО «Мосэнерго», АО «Мосводоканал») на период их оплаты. Эти тарифы могут изменяться в порядке, установленном действующим законодательством Российской Федерации и договорами энергоснабжения, без предварительного согласования с Арендодателем. Арендодатель доводит до сведения Арендатора величину новых тарифов при оформлении Акта потребленных энергоресурсов. Изменение указанных тарифов в период действия настоящего договора не считается его изменением и не требует его переоформления.</w:t>
      </w:r>
    </w:p>
    <w:bookmarkEnd w:id="0"/>
    <w:p w14:paraId="35FABDFF" w14:textId="77777777" w:rsidR="00EC6F5F" w:rsidRPr="00570EED" w:rsidRDefault="00EC6F5F" w:rsidP="00EC6F5F">
      <w:pPr>
        <w:autoSpaceDN w:val="0"/>
        <w:jc w:val="both"/>
        <w:rPr>
          <w:sz w:val="22"/>
          <w:szCs w:val="22"/>
        </w:rPr>
      </w:pPr>
    </w:p>
    <w:sectPr w:rsidR="00EC6F5F" w:rsidRPr="0057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5F"/>
    <w:rsid w:val="00323057"/>
    <w:rsid w:val="00362FEE"/>
    <w:rsid w:val="00570EED"/>
    <w:rsid w:val="00E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C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C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F5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EC6F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6F5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C6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6F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F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C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C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F5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EC6F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6F5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C6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6F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Александр Сергеевич</dc:creator>
  <cp:keywords/>
  <dc:description/>
  <cp:lastModifiedBy>Саморукова Ирина Михайловна</cp:lastModifiedBy>
  <cp:revision>3</cp:revision>
  <dcterms:created xsi:type="dcterms:W3CDTF">2018-10-01T11:58:00Z</dcterms:created>
  <dcterms:modified xsi:type="dcterms:W3CDTF">2018-10-09T10:50:00Z</dcterms:modified>
</cp:coreProperties>
</file>